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ОБРАЗОВАНИЯ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МЭРИИ ГОРОДА ЯРОСЛАВЛЯ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920" w:left="1075" w:right="539" w:bottom="4832" w:header="1492" w:footer="4404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934720" distB="2540" distL="0" distR="0" simplePos="0" relativeHeight="125829378" behindDoc="0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934720</wp:posOffset>
                </wp:positionV>
                <wp:extent cx="772795" cy="21717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2795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31.08.2020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400000000000006pt;margin-top:73.599999999999994pt;width:60.850000000000001pt;height:17.100000000000001pt;z-index:-125829375;mso-wrap-distance-left:0;mso-wrap-distance-top:73.599999999999994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31.08.2020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2900" distB="0" distL="0" distR="0" simplePos="0" relativeHeight="125829380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342900</wp:posOffset>
                </wp:positionV>
                <wp:extent cx="3314700" cy="8115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14700" cy="811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ПРИКАЗ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№01-05/659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8.30000000000001pt;margin-top:27.pt;width:261.pt;height:63.899999999999999pt;z-index:-125829373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ПРИКАЗ</w:t>
                      </w:r>
                      <w:bookmarkEnd w:id="0"/>
                      <w:bookmarkEnd w:id="1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№01-05/659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3" w:left="0" w:right="0" w:bottom="121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приказ департамента образования мэрии города Ярославля от 27.07.2020 № 01-05/533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в приказ департамента образования мэрии города Ярославля от 27.07.2020 № 01-05/533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2020-2021 учебный год» изменение, изложив приложение «Список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на 2020-2021 учебный год» в новой редакции (приложение).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4" w:val="left"/>
        </w:tabs>
        <w:bidi w:val="0"/>
        <w:spacing w:before="0" w:after="88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6203315</wp:posOffset>
                </wp:positionH>
                <wp:positionV relativeFrom="paragraph">
                  <wp:posOffset>12700</wp:posOffset>
                </wp:positionV>
                <wp:extent cx="934720" cy="2171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4720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Е.А.Иванова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8.44999999999999pt;margin-top:1.pt;width:73.599999999999994pt;height:17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Е.А.Иванова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департамента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приказу департамента образования мэрии города Ярославля от 31.08.2020 № 01-05/659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образовательных учреждений, которым присвоен статус муниципальной</w:t>
        <w:br/>
        <w:t>инновационной площадки, муниципальной стажировочной площадки и</w:t>
        <w:br/>
        <w:t>муниципального ресурсного центра</w:t>
        <w:br/>
        <w:t>на 2020-2021 учебный год</w:t>
      </w:r>
    </w:p>
    <w:tbl>
      <w:tblPr>
        <w:tblOverlap w:val="never"/>
        <w:jc w:val="center"/>
        <w:tblLayout w:type="fixed"/>
      </w:tblPr>
      <w:tblGrid>
        <w:gridCol w:w="662"/>
        <w:gridCol w:w="4583"/>
        <w:gridCol w:w="4684"/>
      </w:tblGrid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Учреждение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Тема проекта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Муниципальные инновационные площадки</w:t>
            </w:r>
          </w:p>
        </w:tc>
      </w:tr>
      <w:tr>
        <w:trPr>
          <w:trHeight w:val="11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 2, 32, 65, 78, 145, 148, 233, СШ №10, начальная школа-детский сад № 115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 2, 5, 7, 15, 18, 27, 29, 30, 44, 47, 54, 56, 62, 65, 74, 82, 85, 91, 92, 93, 95, 100, 104, 106, 107, 109, 112, 114, 118, 126, 130, 131, 135, 139, 142, 144, 149, 151, 155, 174, 176, 183, 203, 204, 205, 207, 222, 232, 233,235,240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Современный детский сад - островок счастливого детства</w:t>
            </w:r>
          </w:p>
        </w:tc>
      </w:tr>
      <w:tr>
        <w:trPr>
          <w:trHeight w:val="13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Гимназия № 3, СШ №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Совершенствование организационно</w:t>
              <w:softHyphen/>
              <w:t>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>
        <w:trPr>
          <w:trHeight w:val="16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 5, 7,15, 36, 42, 67, 173, 193, 211,225,236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>
        <w:trPr>
          <w:trHeight w:val="5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 22, 61,69,221, 246, МОУ КОЦ «ЛАД», ДЮЦ «Ярославин»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Образовательная сеть «Инженерная школа для дошкольника»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 1,2,3,10,50,55, 65, 77,78, 93, 126,130, 158, 179, 183, 192, 235,241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>
        <w:trPr>
          <w:trHeight w:val="13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 12, 38, 56, 118, 125, 221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и внедрение технологий психолого-педагогического и медико</w:t>
              <w:softHyphen/>
              <w:t>социального сопровождения детей с признаками одаренности в дошкольном образовательном учреждении</w:t>
            </w:r>
          </w:p>
        </w:tc>
      </w:tr>
      <w:tr>
        <w:trPr>
          <w:trHeight w:val="11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 6,30,35,55,69,81,98,109,114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133,211,228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Социальные акции и волонтерское движение - средство эффективной социализации детей в дошкольных образовательных учреждениях</w:t>
            </w:r>
          </w:p>
        </w:tc>
      </w:tr>
      <w:tr>
        <w:trPr>
          <w:trHeight w:val="11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№№ 2,11,56,67,70,73,76,80, лицей №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ГЦ ПМСС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мотивации рационального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3" w:left="1132" w:right="482" w:bottom="1213" w:header="685" w:footer="785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66"/>
        <w:gridCol w:w="4590"/>
        <w:gridCol w:w="4691"/>
      </w:tblGrid>
      <w:tr>
        <w:trPr>
          <w:trHeight w:val="5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42" w:val="left"/>
                <w:tab w:pos="30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питания</w:t>
              <w:tab/>
              <w:t>среди</w:t>
              <w:tab/>
              <w:t>обучающихся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образовательных организаций</w:t>
            </w:r>
          </w:p>
        </w:tc>
      </w:tr>
      <w:tr>
        <w:trPr>
          <w:trHeight w:val="22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 центр «Доверие»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Обучение специалистов эффективному взаимодействию с учащимися начальной школы, имеющих нарушение поведения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(F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50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гиперкинетическое расстройство;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5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социализированное расстройство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6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поведения;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F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92.8</w:t>
              <w:tab/>
              <w:t>- расстройство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поведения и эмоций). Психолого-медико- педагогический подход</w:t>
            </w:r>
          </w:p>
        </w:tc>
      </w:tr>
      <w:tr>
        <w:trPr>
          <w:trHeight w:val="19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 19,21,37,41,83,128,236, 227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Использование информационно</w:t>
              <w:softHyphen/>
              <w:t>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</w:tr>
      <w:tr>
        <w:trPr>
          <w:trHeight w:val="8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№№3,50,144,179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Мир на песке - успешная песочная терапия в работе с детьми раннего и дошкольного возраста</w:t>
            </w:r>
          </w:p>
        </w:tc>
      </w:tr>
      <w:tr>
        <w:trPr>
          <w:trHeight w:val="5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№№ 6, 17, гимназия №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703" w:val="left"/>
                <w:tab w:pos="310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Культурный</w:t>
              <w:tab/>
              <w:t>норматив</w:t>
              <w:tab/>
              <w:t>ярославского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школьника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 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Волонтерский центр спортивной направленности для подростков</w:t>
            </w:r>
          </w:p>
        </w:tc>
      </w:tr>
      <w:tr>
        <w:trPr>
          <w:trHeight w:val="5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одаренных детей с ограниченными возможностями здоровья</w:t>
            </w:r>
          </w:p>
        </w:tc>
      </w:tr>
      <w:tr>
        <w:trPr>
          <w:trHeight w:val="13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№№ 4, 14, 18, 37,40, 44, МОУ «ГЦРО», МДОУ №№ 12,27, 118, 151, 155, 232, МОУ ДО ЦВР «Приоритет», МОУ ДО Дом творчества Красноперекопского района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и реализация новых образовательных практик в рамках регионального проекта "Учитель будущего" национального проекта " Образование"</w:t>
            </w:r>
          </w:p>
        </w:tc>
      </w:tr>
      <w:tr>
        <w:trPr>
          <w:trHeight w:val="25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ДЭЦ «Родник»,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«Дом творчества Красноперекопского района», МОУ «Гимназия №1», МОУ ДО ЯРЮЦ «Радуга»,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«Детский морской центр им. адмирала Ушакова Ф. Ф.», МОУ ДО «Ярославский городской Дворец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пионеров»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Музейно-образовательное пространство образовательного учреждения как средство развития базовых навыков и умений обучающихся для профессиональной социализации</w:t>
            </w:r>
          </w:p>
        </w:tc>
      </w:tr>
      <w:tr>
        <w:trPr>
          <w:trHeight w:val="11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ДЦ «Восхождение»,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КОЦ «ЛАД», МОУ ДО Дом творчества Красноперекопского района, СШ№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52" w:val="left"/>
                <w:tab w:pos="306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</w:t>
              <w:tab/>
              <w:t>системы</w:t>
              <w:tab/>
              <w:t>ученического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самоуправления как способ формирования активной жизненной позиции школьников</w:t>
            </w:r>
          </w:p>
        </w:tc>
      </w:tr>
      <w:tr>
        <w:trPr>
          <w:trHeight w:val="8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№№ 18, 26, 68, 84, 48, 70, 80, 39, 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условий для организационно- методического сопровождения проекта "Цифровая образовательная среда"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 2, МДОУ №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экологической образовательной среды школы в рамках реализации программы «Школа счастья»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СШ№№ 2,4,11,16,39,,МДОУ№№6, 18,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47, 102, 150, 158, 170, 174, 183, 192,211,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Инновационные подходы достижения реализации регионального проекта"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77"/>
        <w:gridCol w:w="4586"/>
        <w:gridCol w:w="4691"/>
      </w:tblGrid>
      <w:tr>
        <w:trPr>
          <w:trHeight w:val="5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212,215,226, 227, 228, 231,235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Современная школа" национального проекта " Образование"</w:t>
            </w:r>
          </w:p>
        </w:tc>
      </w:tr>
      <w:tr>
        <w:trPr>
          <w:trHeight w:val="28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Муниципальные стажировочные площадки</w:t>
            </w:r>
          </w:p>
        </w:tc>
      </w:tr>
      <w:tr>
        <w:trPr>
          <w:trHeight w:val="8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ДЦ «Восхождение»,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Использование здоровьесберегающих технологий в образовательной среде</w:t>
            </w:r>
          </w:p>
        </w:tc>
      </w:tr>
      <w:tr>
        <w:trPr>
          <w:trHeight w:val="16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 ГЦ ППМС, 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ЦВР «Приоритет», 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 10, 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здоровьесохраняющей системы работы ДОО в современных условиях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 171, 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СШ№ 31, 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Использование интерактивной доски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Interwrite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ActivBoard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образовательном процессе в рамках реализации ФГОС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 87, 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Цифровой учитель: компетенции для новой школы</w:t>
            </w:r>
          </w:p>
        </w:tc>
      </w:tr>
      <w:tr>
        <w:trPr>
          <w:trHeight w:val="8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№№55, 85, 139, 142,144, 221, 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профессионального самоопределения обучающихся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 87, МОУ «ГЦРО»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Система управления качеством образования в общеобразовательном учреждении через разработку и реализацию локальных нормативных актов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Муниципальные ресурсные центры</w:t>
            </w: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№№ 23, 72, 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Коррекционно-развивающие занятия учителей-логопедов и педагогов- психологов с детьми с ОВЗ (ЗПР) на основе учебного материала</w:t>
            </w:r>
          </w:p>
        </w:tc>
      </w:tr>
      <w:tr>
        <w:trPr>
          <w:trHeight w:val="36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«ГЦРО»,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ЦДТ "Юность"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«МУЦ Красноперекопского района»,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«МУЦ Кировского 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Ленинского районов»,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КОЦ «ЛАД»,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МОУДО ДЮЦ «Ярославич»,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«Детский морской центр»,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ЦВР «Глория»,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ДЭЦ «Родник»,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ЦАТ «Перспектива»,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№№ 2,30,43,58,59,76,77,80,81, 87,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профессионального самоопределения обучающихся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66"/>
        <w:gridCol w:w="4586"/>
        <w:gridCol w:w="4687"/>
      </w:tblGrid>
      <w:tr>
        <w:trPr>
          <w:trHeight w:val="5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Гимназия №1,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Гимназия №3, Лицей №86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 ГЦ ППМС, СШ №№ 3,7,10,33, 42,46, 52, 89, Лицей № 86, Санаторно-лесная школа; МДОУ №№ 99, 130, 225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>
        <w:trPr>
          <w:trHeight w:val="11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ДО «Детский морской центр», СШ №№10,14,17,25,29,30,32,35,37,44,46,47,50, 57,68, 72, 73,77,84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Повышение эффективности кадетского образования путем сетевого взаимодействия муниципальных образовательных учреждений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№№ 8,35,44,48,52,62,66,74,76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Медиация как инструмент профилактики межличностных конфликтов в школе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 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>
        <w:trPr>
          <w:trHeight w:val="5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СШИ №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Педагогическое сопровождение саморазвития школьников</w:t>
            </w:r>
          </w:p>
        </w:tc>
      </w:tr>
      <w:tr>
        <w:trPr>
          <w:trHeight w:val="16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 ГЦППМС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деятельности образовательных организаций по организации профилактической работы и оказанию психолого-педагогической помощи детям с аутоагрессивным и суицидальным поведением</w:t>
            </w:r>
          </w:p>
        </w:tc>
      </w:tr>
      <w:tr>
        <w:trPr>
          <w:trHeight w:val="8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МДОУ №№ 95, 235, 212, 227, 228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«Интеллектуальные игры го, жипто, шашки в образовательном пространстве ДОУ»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МОУ «ГЦРО», Гимназия №3,СШ №№ 31, 49, 99, МДОУ № 18, 101, 179, 241 ,МОУ ДО КОЦ «ЛАД», МОУ ДО ГЦТТ , МОУ ДО ЦВР «Глория»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Муниципальная модель организационно- методического сопровождения проекта «Успех каждого ребенка»</w:t>
            </w:r>
          </w:p>
        </w:tc>
      </w:tr>
      <w:tr>
        <w:trPr>
          <w:trHeight w:val="11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 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Достижение метапредметных результатов реализации ФГОС общего образования через проектную и исследовательскую деятельность</w:t>
            </w:r>
          </w:p>
        </w:tc>
      </w:tr>
      <w:tr>
        <w:trPr>
          <w:trHeight w:val="11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Гимназия №3, Гимназия №1, СШ № 7, 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</w:tr>
      <w:tr>
        <w:trPr>
          <w:trHeight w:val="11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СШ № 29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Интеграция учебной и внеучебной деятельности, направленной на профилактику безопасного поведения на дорогах и на транспорте</w:t>
            </w:r>
          </w:p>
        </w:tc>
      </w:tr>
    </w:tbl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113" w:left="1132" w:right="482" w:bottom="1213" w:header="0" w:footer="785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379730</wp:posOffset>
              </wp:positionV>
              <wp:extent cx="54610" cy="889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0.39999999999998pt;margin-top:29.899999999999999pt;width:4.2999999999999998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9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"/>
      <w:numFmt w:val="decimal"/>
      <w:lvlText w:val="9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5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